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9DF" w:rsidRPr="008F25EE" w:rsidRDefault="00855EF7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bookmarkEnd w:id="0"/>
      <w:r w:rsidRPr="008F25EE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DA5B04" w:rsidRPr="008F25EE" w:rsidRDefault="00304D70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جلسه 41           </w:t>
      </w:r>
      <w:r w:rsidR="007319DF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                                       </w:t>
      </w:r>
      <w:r w:rsidR="00855EF7" w:rsidRPr="008F25EE">
        <w:rPr>
          <w:rFonts w:ascii="Noor_Badr" w:hAnsi="Noor_Badr" w:cs="Noor_Badr"/>
          <w:sz w:val="32"/>
          <w:szCs w:val="32"/>
          <w:rtl/>
          <w:lang w:bidi="fa-IR"/>
        </w:rPr>
        <w:t>یکشنبه 18/ 9/ 97</w:t>
      </w:r>
    </w:p>
    <w:p w:rsidR="007319DF" w:rsidRPr="008F25EE" w:rsidRDefault="00044D48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__________________________________________</w:t>
      </w:r>
    </w:p>
    <w:p w:rsidR="00855EF7" w:rsidRPr="008F25EE" w:rsidRDefault="00B95C58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B95C58" w:rsidRPr="008F25EE" w:rsidRDefault="00B95C58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و الشره‏ جامع لمساوي العيوب</w:t>
      </w:r>
    </w:p>
    <w:p w:rsidR="00B95C58" w:rsidRPr="008F25EE" w:rsidRDefault="00B95C58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شره: حرص - مساوی: جمع مَسوَء(بدی)</w:t>
      </w:r>
    </w:p>
    <w:p w:rsidR="00B95C58" w:rsidRPr="008F25EE" w:rsidRDefault="00B95C58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B95C58" w:rsidRPr="008F25EE" w:rsidRDefault="002E614F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بحث در حکم اضطراری، قسم تقیه بود.</w:t>
      </w:r>
      <w:r w:rsidR="0051277E" w:rsidRPr="008F25EE">
        <w:rPr>
          <w:rFonts w:ascii="Noor_Badr" w:hAnsi="Noor_Badr" w:cs="Noor_Badr"/>
          <w:sz w:val="32"/>
          <w:szCs w:val="32"/>
          <w:rtl/>
          <w:lang w:bidi="fa-IR"/>
        </w:rPr>
        <w:t>چهار طایفه ا</w:t>
      </w:r>
      <w:r w:rsidR="00753962" w:rsidRPr="008F25EE">
        <w:rPr>
          <w:rFonts w:ascii="Noor_Badr" w:hAnsi="Noor_Badr" w:cs="Noor_Badr"/>
          <w:sz w:val="32"/>
          <w:szCs w:val="32"/>
          <w:rtl/>
          <w:lang w:bidi="fa-IR"/>
        </w:rPr>
        <w:t>ز روایات دلالت داشتند بر اینکه ا</w:t>
      </w:r>
      <w:r w:rsidR="0051277E" w:rsidRPr="008F25EE">
        <w:rPr>
          <w:rFonts w:ascii="Noor_Badr" w:hAnsi="Noor_Badr" w:cs="Noor_Badr"/>
          <w:sz w:val="32"/>
          <w:szCs w:val="32"/>
          <w:rtl/>
          <w:lang w:bidi="fa-IR"/>
        </w:rPr>
        <w:t>تیان</w:t>
      </w:r>
      <w:r w:rsidR="00BB3F73" w:rsidRPr="008F25EE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51277E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فعل</w:t>
      </w:r>
      <w:r w:rsidR="00BB3F73" w:rsidRPr="008F25EE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51277E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اضطراری</w:t>
      </w:r>
      <w:r w:rsidR="00BB3F73" w:rsidRPr="008F25EE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51277E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تقیه ای(نماز با جماعت مخالفین) مجزی و مکفی است، و یک طایفه دلالت داشتند بر اینکه مجزی و مکفی نیست؛ از این طایفه آخر روایاتی گفته شد.</w:t>
      </w:r>
    </w:p>
    <w:p w:rsidR="002E614F" w:rsidRPr="008F25EE" w:rsidRDefault="002E614F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ادامه روایات</w:t>
      </w:r>
    </w:p>
    <w:p w:rsidR="002E614F" w:rsidRPr="008F25EE" w:rsidRDefault="002E614F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روایت زراره</w:t>
      </w:r>
    </w:p>
    <w:p w:rsidR="002E614F" w:rsidRPr="008F25EE" w:rsidRDefault="002E614F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10920- 10-وَ عَنْ مُحَمَّدِ بْنِ يَحْيَى عَنْ أَحْمَدَ بْنِ مُحَمَّدٍ عَنْ عُبَيْدِ اللَّهِ بْنِ مُحَمَّدٍ الْحَجَّالِ عَنْ ثَعْلَبَةَ عَنْ زُرَارَةَ قَالَ: سَأَلْتُ أَبَا جَعْفَرٍ ع عَنِ الصَّلَاةِ خَلْفَ الْمُخَالِفِينَ- فَقَالَ مَا هُمْ عِنْدِي إِلَّا بِمَنْزِلَةِ الْجُدُرِ.</w:t>
      </w:r>
      <w:r w:rsidR="00374E8F" w:rsidRPr="008F25EE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D32548" w:rsidRPr="008F25EE" w:rsidRDefault="00D32548" w:rsidP="008F25EE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lastRenderedPageBreak/>
        <w:t>جُدُر: جمعِ جِدار.</w:t>
      </w:r>
    </w:p>
    <w:p w:rsidR="002E614F" w:rsidRPr="008F25EE" w:rsidRDefault="004017D4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جمع بین این دو دسته از روایات(دالّ بر اجزاء و دالّ بر عدم اجزاء)</w:t>
      </w:r>
      <w:r w:rsidR="00440027" w:rsidRPr="008F25EE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4017D4" w:rsidRPr="008F25EE" w:rsidRDefault="004017D4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قبل از جمع، فرمایش برخی از فقها اشاره می کنیم:</w:t>
      </w:r>
    </w:p>
    <w:p w:rsidR="004017D4" w:rsidRPr="008F25EE" w:rsidRDefault="004017D4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محقق خوئی:</w:t>
      </w:r>
    </w:p>
    <w:p w:rsidR="004017D4" w:rsidRPr="008F25EE" w:rsidRDefault="00F32672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اذا کان الاضطرار من جهة الت</w:t>
      </w:r>
      <w:r w:rsidR="004017D4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قیة المصطلح علیها(التقیة المداراتیة) </w:t>
      </w:r>
      <w:r w:rsidR="00440027" w:rsidRPr="008F25EE">
        <w:rPr>
          <w:rFonts w:ascii="Noor_Badr" w:hAnsi="Noor_Badr" w:cs="Noor_Badr"/>
          <w:sz w:val="32"/>
          <w:szCs w:val="32"/>
          <w:rtl/>
          <w:lang w:bidi="fa-IR"/>
        </w:rPr>
        <w:t>فإ</w:t>
      </w:r>
      <w:r w:rsidR="000E24EE" w:rsidRPr="008F25EE">
        <w:rPr>
          <w:rFonts w:ascii="Noor_Badr" w:hAnsi="Noor_Badr" w:cs="Noor_Badr"/>
          <w:sz w:val="32"/>
          <w:szCs w:val="32"/>
          <w:rtl/>
          <w:lang w:bidi="fa-IR"/>
        </w:rPr>
        <w:t>ن کان العمل المت</w:t>
      </w:r>
      <w:r w:rsidR="00440027" w:rsidRPr="008F25EE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0E24EE" w:rsidRPr="008F25EE">
        <w:rPr>
          <w:rFonts w:ascii="Noor_Badr" w:hAnsi="Noor_Badr" w:cs="Noor_Badr"/>
          <w:sz w:val="32"/>
          <w:szCs w:val="32"/>
          <w:rtl/>
          <w:lang w:bidi="fa-IR"/>
        </w:rPr>
        <w:t>قی به موردا للامر به بالخصوص فی شیئ من روایاتنا کما فی غ</w:t>
      </w:r>
      <w:r w:rsidR="00440027" w:rsidRPr="008F25EE">
        <w:rPr>
          <w:rFonts w:ascii="Noor_Badr" w:hAnsi="Noor_Badr" w:cs="Noor_Badr"/>
          <w:sz w:val="32"/>
          <w:szCs w:val="32"/>
          <w:rtl/>
          <w:lang w:bidi="fa-IR"/>
        </w:rPr>
        <w:t>َ</w:t>
      </w:r>
      <w:r w:rsidR="000E24EE" w:rsidRPr="008F25EE">
        <w:rPr>
          <w:rFonts w:ascii="Noor_Badr" w:hAnsi="Noor_Badr" w:cs="Noor_Badr"/>
          <w:sz w:val="32"/>
          <w:szCs w:val="32"/>
          <w:rtl/>
          <w:lang w:bidi="fa-IR"/>
        </w:rPr>
        <w:t>سل الرجلین و الغ</w:t>
      </w:r>
      <w:r w:rsidR="00440027" w:rsidRPr="008F25EE">
        <w:rPr>
          <w:rFonts w:ascii="Noor_Badr" w:hAnsi="Noor_Badr" w:cs="Noor_Badr"/>
          <w:sz w:val="32"/>
          <w:szCs w:val="32"/>
          <w:rtl/>
          <w:lang w:bidi="fa-IR"/>
        </w:rPr>
        <w:t>َ</w:t>
      </w:r>
      <w:r w:rsidR="000E24EE" w:rsidRPr="008F25EE">
        <w:rPr>
          <w:rFonts w:ascii="Noor_Badr" w:hAnsi="Noor_Badr" w:cs="Noor_Badr"/>
          <w:sz w:val="32"/>
          <w:szCs w:val="32"/>
          <w:rtl/>
          <w:lang w:bidi="fa-IR"/>
        </w:rPr>
        <w:t>سل منکوسا و ترک القرائة فی الصلاة خلفهم و نحو ذلک فلاینبغی</w:t>
      </w:r>
      <w:r w:rsidR="00440027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الاشکال فی صحته و إ</w:t>
      </w:r>
      <w:r w:rsidR="000E24EE" w:rsidRPr="008F25EE">
        <w:rPr>
          <w:rFonts w:ascii="Noor_Badr" w:hAnsi="Noor_Badr" w:cs="Noor_Badr"/>
          <w:sz w:val="32"/>
          <w:szCs w:val="32"/>
          <w:rtl/>
          <w:lang w:bidi="fa-IR"/>
        </w:rPr>
        <w:t>جزائه.</w:t>
      </w:r>
    </w:p>
    <w:p w:rsidR="000E24EE" w:rsidRPr="008F25EE" w:rsidRDefault="000E24E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توضیح: تقیه مداراتی دو صورت دارد:</w:t>
      </w:r>
    </w:p>
    <w:p w:rsidR="000E24EE" w:rsidRPr="008F25EE" w:rsidRDefault="000E24E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1-عمل تقیه ای امر شرعی مختص دارد</w:t>
      </w:r>
      <w:r w:rsidR="00F32672" w:rsidRPr="008F25EE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0E24EE" w:rsidRPr="008F25EE" w:rsidRDefault="000E24E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2-امر مختص ندارد</w:t>
      </w:r>
      <w:r w:rsidR="00F32672" w:rsidRPr="008F25EE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0E24EE" w:rsidRPr="008F25EE" w:rsidRDefault="000E24E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اما صورت اول بلاشک مجزی است و اع</w:t>
      </w:r>
      <w:r w:rsidR="00F32672" w:rsidRPr="008F25EE">
        <w:rPr>
          <w:rFonts w:ascii="Noor_Badr" w:hAnsi="Noor_Badr" w:cs="Noor_Badr"/>
          <w:sz w:val="32"/>
          <w:szCs w:val="32"/>
          <w:rtl/>
          <w:lang w:bidi="fa-IR"/>
        </w:rPr>
        <w:t>ا</w:t>
      </w:r>
      <w:r w:rsidRPr="008F25EE">
        <w:rPr>
          <w:rFonts w:ascii="Noor_Badr" w:hAnsi="Noor_Badr" w:cs="Noor_Badr"/>
          <w:sz w:val="32"/>
          <w:szCs w:val="32"/>
          <w:rtl/>
          <w:lang w:bidi="fa-IR"/>
        </w:rPr>
        <w:t>ده و قضا ندارد.</w:t>
      </w:r>
    </w:p>
    <w:p w:rsidR="000E24EE" w:rsidRPr="008F25EE" w:rsidRDefault="000E24E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اما صورت دوم دو قسم است:</w:t>
      </w:r>
    </w:p>
    <w:p w:rsidR="00901FD6" w:rsidRPr="008F25EE" w:rsidRDefault="000E24E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1)موارد مبتلابه که در حضور معصومین مکرر اتفاق افتاده و آنها منع نکرده اند( مثل تکتف در نماز یا شستن پا</w:t>
      </w:r>
      <w:r w:rsidR="00901FD6" w:rsidRPr="008F25EE">
        <w:rPr>
          <w:rFonts w:ascii="Noor_Badr" w:hAnsi="Noor_Badr" w:cs="Noor_Badr"/>
          <w:sz w:val="32"/>
          <w:szCs w:val="32"/>
          <w:rtl/>
          <w:lang w:bidi="fa-IR"/>
        </w:rPr>
        <w:t>ها در وضو یا اقتدا به آنها)؛</w:t>
      </w:r>
    </w:p>
    <w:p w:rsidR="000E24EE" w:rsidRPr="008F25EE" w:rsidRDefault="000E24E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در این موارد به حکم سیره مستمره، قائل می شویم به اجزاء و عدم وجوب اعاده و قضا.</w:t>
      </w:r>
    </w:p>
    <w:p w:rsidR="00957F6E" w:rsidRPr="008F25EE" w:rsidRDefault="00957F6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واز همین قسم است وقوف در عرفات در روز هشتم ذی الحجه که ائمه در سالهای متمادی و اصحاب نیز به پیروی از </w:t>
      </w:r>
      <w:r w:rsidR="00E054D7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ائمه از جهت زمان حج با اهل تسنن همراهی می کردند با اینکه نظرشان با آنها موافق نبوده و روز هشتم در عرفات وقوف داشتند </w:t>
      </w:r>
      <w:r w:rsidR="00EF3387" w:rsidRPr="008F25EE">
        <w:rPr>
          <w:rFonts w:ascii="Noor_Badr" w:hAnsi="Noor_Badr" w:cs="Noor_Badr"/>
          <w:sz w:val="32"/>
          <w:szCs w:val="32"/>
          <w:rtl/>
          <w:lang w:bidi="fa-IR"/>
        </w:rPr>
        <w:t>و ائمه منع نمی کردند و امر به احتیاط</w:t>
      </w:r>
      <w:r w:rsidR="0043233F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EF3387" w:rsidRPr="008F25EE">
        <w:rPr>
          <w:rFonts w:ascii="Noor_Badr" w:hAnsi="Noor_Badr" w:cs="Noor_Badr"/>
          <w:sz w:val="32"/>
          <w:szCs w:val="32"/>
          <w:rtl/>
          <w:lang w:bidi="fa-IR"/>
        </w:rPr>
        <w:t>(وقوف در روز بعد)</w:t>
      </w:r>
      <w:r w:rsidR="0043233F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نیز</w:t>
      </w:r>
      <w:r w:rsidR="00EF3387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نمی کردند</w:t>
      </w:r>
      <w:r w:rsidR="0043233F" w:rsidRPr="008F25EE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EF3387"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 البته این در صورت عدم علم وجدانی به مخالفت با واقع از نظر زمانی است.</w:t>
      </w:r>
    </w:p>
    <w:p w:rsidR="00EB2A52" w:rsidRPr="008F25EE" w:rsidRDefault="00F32672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2)</w:t>
      </w:r>
      <w:r w:rsidR="00EB2A52" w:rsidRPr="008F25EE">
        <w:rPr>
          <w:rFonts w:ascii="Noor_Badr" w:hAnsi="Noor_Badr" w:cs="Noor_Badr"/>
          <w:sz w:val="32"/>
          <w:szCs w:val="32"/>
          <w:rtl/>
          <w:lang w:bidi="fa-IR"/>
        </w:rPr>
        <w:t>موارد غیرمبتلابه؛</w:t>
      </w:r>
    </w:p>
    <w:p w:rsidR="000E24EE" w:rsidRPr="008F25EE" w:rsidRDefault="00C00D9B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 xml:space="preserve">در این موارد قائل به عدم اجزاء می شویم زیرا </w:t>
      </w:r>
      <w:r w:rsidR="008219A1" w:rsidRPr="008F25EE">
        <w:rPr>
          <w:rFonts w:ascii="Noor_Badr" w:hAnsi="Noor_Badr" w:cs="Noor_Badr"/>
          <w:sz w:val="32"/>
          <w:szCs w:val="32"/>
          <w:rtl/>
          <w:lang w:bidi="fa-IR"/>
        </w:rPr>
        <w:t>نه امر مختص وجود دارد و نه سیره.</w:t>
      </w:r>
      <w:r w:rsidR="00220FE7" w:rsidRPr="008F25EE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0E24EE" w:rsidRPr="008F25EE" w:rsidRDefault="007319DF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F25EE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p w:rsidR="000E24EE" w:rsidRPr="008F25EE" w:rsidRDefault="000E24EE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4017D4" w:rsidRPr="008F25EE" w:rsidRDefault="004017D4" w:rsidP="008F25EE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4017D4" w:rsidRPr="008F25EE" w:rsidRDefault="004017D4" w:rsidP="008F25EE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</w:p>
    <w:sectPr w:rsidR="004017D4" w:rsidRPr="008F25EE" w:rsidSect="008F25EE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2B6" w:rsidRDefault="00DB62B6" w:rsidP="00B95C58">
      <w:pPr>
        <w:spacing w:after="0" w:line="240" w:lineRule="auto"/>
      </w:pPr>
      <w:r>
        <w:separator/>
      </w:r>
    </w:p>
  </w:endnote>
  <w:endnote w:type="continuationSeparator" w:id="0">
    <w:p w:rsidR="00DB62B6" w:rsidRDefault="00DB62B6" w:rsidP="00B95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2B6" w:rsidRDefault="00DB62B6" w:rsidP="00B95C58">
      <w:pPr>
        <w:spacing w:after="0" w:line="240" w:lineRule="auto"/>
      </w:pPr>
      <w:r>
        <w:separator/>
      </w:r>
    </w:p>
  </w:footnote>
  <w:footnote w:type="continuationSeparator" w:id="0">
    <w:p w:rsidR="00DB62B6" w:rsidRDefault="00DB62B6" w:rsidP="00B95C58">
      <w:pPr>
        <w:spacing w:after="0" w:line="240" w:lineRule="auto"/>
      </w:pPr>
      <w:r>
        <w:continuationSeparator/>
      </w:r>
    </w:p>
  </w:footnote>
  <w:footnote w:id="1">
    <w:p w:rsidR="00374E8F" w:rsidRPr="00374E8F" w:rsidRDefault="00374E8F" w:rsidP="00374E8F">
      <w:pPr>
        <w:pStyle w:val="FootnoteText"/>
        <w:rPr>
          <w:sz w:val="24"/>
          <w:szCs w:val="24"/>
        </w:rPr>
      </w:pPr>
      <w:r w:rsidRPr="00374E8F">
        <w:rPr>
          <w:rStyle w:val="FootnoteReference"/>
          <w:sz w:val="24"/>
          <w:szCs w:val="24"/>
        </w:rPr>
        <w:footnoteRef/>
      </w:r>
      <w:r w:rsidRPr="00374E8F">
        <w:rPr>
          <w:sz w:val="24"/>
          <w:szCs w:val="24"/>
        </w:rPr>
        <w:t xml:space="preserve"> </w:t>
      </w:r>
      <w:r w:rsidRPr="00374E8F">
        <w:rPr>
          <w:rFonts w:hint="cs"/>
          <w:sz w:val="24"/>
          <w:szCs w:val="24"/>
          <w:rtl/>
          <w:lang w:bidi="fa-IR"/>
        </w:rPr>
        <w:t>وسائل الشيعة، ج‌8، ص: 366‌</w:t>
      </w:r>
    </w:p>
    <w:p w:rsidR="00374E8F" w:rsidRPr="00374E8F" w:rsidRDefault="00374E8F" w:rsidP="00374E8F">
      <w:pPr>
        <w:pStyle w:val="FootnoteText"/>
        <w:rPr>
          <w:sz w:val="26"/>
          <w:szCs w:val="26"/>
          <w:rtl/>
          <w:lang w:bidi="fa-IR"/>
        </w:rPr>
      </w:pPr>
      <w:r w:rsidRPr="00374E8F">
        <w:rPr>
          <w:rFonts w:hint="cs"/>
          <w:sz w:val="26"/>
          <w:szCs w:val="26"/>
          <w:rtl/>
          <w:lang w:bidi="fa-IR"/>
        </w:rPr>
        <w:t>33 بَابُ وُجُوبِ الْقِرَاءَةِ خَلْفَ مَنْ لَا يُقْتَدَى بِهِ وَ اسْتِحْبَابِ الْأَذَانِ وَ الْإِقَامَةِ وَ سُقُوطِ الْجَهْرِ وَ مَا يَتَعَذَّرُ مِنَ الْقِرَاءَةِ مَعَ التَّقِيَّةِ وَ أَنَّهُ يُجْزِي مِنْهُمَا مِثْلُ حَدِيثِ النَّفْسِ</w:t>
      </w:r>
      <w:r w:rsidRPr="00374E8F">
        <w:rPr>
          <w:rFonts w:hint="cs"/>
          <w:sz w:val="26"/>
          <w:szCs w:val="26"/>
          <w:lang w:bidi="fa-IR"/>
        </w:rPr>
        <w:t>‌</w:t>
      </w:r>
    </w:p>
  </w:footnote>
  <w:footnote w:id="2">
    <w:p w:rsidR="00220FE7" w:rsidRPr="00220FE7" w:rsidRDefault="00220FE7">
      <w:pPr>
        <w:pStyle w:val="FootnoteText"/>
        <w:rPr>
          <w:sz w:val="24"/>
          <w:szCs w:val="24"/>
          <w:rtl/>
          <w:lang w:bidi="fa-IR"/>
        </w:rPr>
      </w:pPr>
      <w:r w:rsidRPr="00220FE7">
        <w:rPr>
          <w:rStyle w:val="FootnoteReference"/>
          <w:sz w:val="24"/>
          <w:szCs w:val="24"/>
        </w:rPr>
        <w:footnoteRef/>
      </w:r>
      <w:r w:rsidRPr="00220FE7">
        <w:rPr>
          <w:sz w:val="24"/>
          <w:szCs w:val="24"/>
        </w:rPr>
        <w:t xml:space="preserve"> </w:t>
      </w:r>
      <w:r w:rsidRPr="00220FE7">
        <w:rPr>
          <w:rFonts w:hint="cs"/>
          <w:sz w:val="24"/>
          <w:szCs w:val="24"/>
          <w:rtl/>
        </w:rPr>
        <w:t>التنقیح فی شرح عروة الوثقی ص289-294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EF7"/>
    <w:rsid w:val="00044D48"/>
    <w:rsid w:val="000E24EE"/>
    <w:rsid w:val="00220FE7"/>
    <w:rsid w:val="00253CA1"/>
    <w:rsid w:val="002E614F"/>
    <w:rsid w:val="00304D70"/>
    <w:rsid w:val="00374E8F"/>
    <w:rsid w:val="003D6D4D"/>
    <w:rsid w:val="004017D4"/>
    <w:rsid w:val="0043233F"/>
    <w:rsid w:val="00440027"/>
    <w:rsid w:val="0051277E"/>
    <w:rsid w:val="00574785"/>
    <w:rsid w:val="005C7205"/>
    <w:rsid w:val="007319DF"/>
    <w:rsid w:val="00753962"/>
    <w:rsid w:val="00785C24"/>
    <w:rsid w:val="0080300D"/>
    <w:rsid w:val="008219A1"/>
    <w:rsid w:val="00855EF7"/>
    <w:rsid w:val="008F25EE"/>
    <w:rsid w:val="00901FD6"/>
    <w:rsid w:val="00957F6E"/>
    <w:rsid w:val="00B346A0"/>
    <w:rsid w:val="00B648D3"/>
    <w:rsid w:val="00B95C58"/>
    <w:rsid w:val="00BB3F73"/>
    <w:rsid w:val="00C00D9B"/>
    <w:rsid w:val="00D32548"/>
    <w:rsid w:val="00DB62B6"/>
    <w:rsid w:val="00E054D7"/>
    <w:rsid w:val="00E32094"/>
    <w:rsid w:val="00E63E3F"/>
    <w:rsid w:val="00EB2A52"/>
    <w:rsid w:val="00EF3387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95C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C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5C5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74E8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95C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C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5C5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74E8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23</cp:revision>
  <dcterms:created xsi:type="dcterms:W3CDTF">2019-01-05T06:22:00Z</dcterms:created>
  <dcterms:modified xsi:type="dcterms:W3CDTF">2020-08-24T02:01:00Z</dcterms:modified>
</cp:coreProperties>
</file>